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AC7F84" w:rsidRPr="00632EA9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BE0D22">
        <w:rPr>
          <w:b/>
          <w:color w:val="000000" w:themeColor="text1"/>
        </w:rPr>
        <w:t xml:space="preserve">wymaga poprawy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bardzo dobrze</w:t>
      </w:r>
      <w:r w:rsidRPr="00BE0D22">
        <w:rPr>
          <w:color w:val="000000" w:themeColor="text1"/>
        </w:rPr>
        <w:t xml:space="preserve"> opanował materiał z języka angielskiego oraz Uczeń </w:t>
      </w:r>
      <w:r w:rsidRPr="00BE0D22">
        <w:rPr>
          <w:b/>
          <w:color w:val="000000" w:themeColor="text1"/>
        </w:rPr>
        <w:t xml:space="preserve">wspaniale </w:t>
      </w:r>
      <w:r w:rsidRPr="00BE0D22">
        <w:rPr>
          <w:color w:val="000000" w:themeColor="text1"/>
        </w:rPr>
        <w:t>opanował materiał z języka ang</w:t>
      </w:r>
      <w:bookmarkStart w:id="0" w:name="_GoBack"/>
      <w:bookmarkEnd w:id="0"/>
      <w:r w:rsidRPr="00BE0D22">
        <w:rPr>
          <w:color w:val="000000" w:themeColor="text1"/>
        </w:rPr>
        <w:t xml:space="preserve">ielskiego. Kryteria nie uwzględniają oceny najsłabszej tj. Uczeń </w:t>
      </w:r>
      <w:r w:rsidRPr="00BE0D22">
        <w:rPr>
          <w:b/>
          <w:color w:val="000000" w:themeColor="text1"/>
        </w:rPr>
        <w:t xml:space="preserve">ma trudności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 xml:space="preserve">wybitnie </w:t>
      </w:r>
      <w:r w:rsidRPr="00BE0D22">
        <w:rPr>
          <w:color w:val="000000" w:themeColor="text1"/>
        </w:rPr>
        <w:t xml:space="preserve">opanował materiał z języka angielskiego. Ocenę </w:t>
      </w:r>
      <w:r w:rsidRPr="00BE0D22">
        <w:rPr>
          <w:b/>
          <w:color w:val="000000" w:themeColor="text1"/>
        </w:rPr>
        <w:t>wybitnie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Pr="00BE0D22">
        <w:rPr>
          <w:b/>
          <w:color w:val="000000" w:themeColor="text1"/>
        </w:rPr>
        <w:t>wspaniale</w:t>
      </w:r>
      <w:r w:rsidRPr="00BE0D22">
        <w:rPr>
          <w:color w:val="000000" w:themeColor="text1"/>
        </w:rPr>
        <w:t xml:space="preserve">, zaś uczeń, który nie spełnia wymagań na ocenę </w:t>
      </w:r>
      <w:r w:rsidRPr="00BE0D22">
        <w:rPr>
          <w:b/>
          <w:color w:val="000000" w:themeColor="text1"/>
        </w:rPr>
        <w:t>wymaga poprawy</w:t>
      </w:r>
      <w:r w:rsidRPr="00BE0D22">
        <w:rPr>
          <w:color w:val="000000" w:themeColor="text1"/>
        </w:rPr>
        <w:t xml:space="preserve">, otrzymuje ocenę: </w:t>
      </w:r>
      <w:r w:rsidRPr="00BE0D22">
        <w:rPr>
          <w:b/>
          <w:color w:val="000000" w:themeColor="text1"/>
        </w:rPr>
        <w:t>ma trudności</w:t>
      </w:r>
      <w:r w:rsidRPr="00BE0D22">
        <w:rPr>
          <w:color w:val="000000" w:themeColor="text1"/>
        </w:rPr>
        <w:t xml:space="preserve">. </w:t>
      </w:r>
    </w:p>
    <w:p w:rsidR="006F0FFA" w:rsidRPr="00BE0D22" w:rsidRDefault="006F0FFA" w:rsidP="006F0FFA">
      <w:pPr>
        <w:jc w:val="both"/>
        <w:rPr>
          <w:color w:val="000000" w:themeColor="text1"/>
        </w:rPr>
      </w:pPr>
    </w:p>
    <w:p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bCs/>
          <w:color w:val="000000" w:themeColor="text1"/>
        </w:rPr>
        <w:t>W celu ułatwienia analizy postępów uczniów, obok każdego kryterium umieszczone zostało wolne pole, w którym możemy oznaczać, na jakim poziomie dany uczeń opanował materiał.</w:t>
      </w:r>
    </w:p>
    <w:p w:rsidR="006F0FFA" w:rsidRDefault="006F0FFA" w:rsidP="00B54D66">
      <w:pPr>
        <w:jc w:val="both"/>
      </w:pPr>
    </w:p>
    <w:p w:rsidR="00CA295F" w:rsidRDefault="00CA295F" w:rsidP="00B54D66">
      <w:pPr>
        <w:jc w:val="both"/>
      </w:pPr>
    </w:p>
    <w:p w:rsidR="00AC7F84" w:rsidRPr="00A56659" w:rsidRDefault="00AC7F84" w:rsidP="00AC7F84">
      <w:pPr>
        <w:rPr>
          <w:sz w:val="16"/>
          <w:szCs w:val="16"/>
        </w:rPr>
      </w:pPr>
    </w:p>
    <w:p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:rsidTr="000C1A34">
        <w:trPr>
          <w:trHeight w:val="419"/>
        </w:trPr>
        <w:tc>
          <w:tcPr>
            <w:tcW w:w="1038" w:type="dxa"/>
            <w:vAlign w:val="center"/>
          </w:tcPr>
          <w:p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:rsidTr="00676A5F">
        <w:trPr>
          <w:trHeight w:val="411"/>
        </w:trPr>
        <w:tc>
          <w:tcPr>
            <w:tcW w:w="1038" w:type="dxa"/>
          </w:tcPr>
          <w:p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:rsidTr="00676A5F">
        <w:trPr>
          <w:trHeight w:val="564"/>
        </w:trPr>
        <w:tc>
          <w:tcPr>
            <w:tcW w:w="1038" w:type="dxa"/>
            <w:vMerge w:val="restart"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5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404"/>
        </w:trPr>
        <w:tc>
          <w:tcPr>
            <w:tcW w:w="1038" w:type="dxa"/>
            <w:vMerge w:val="restart"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41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395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What’syourname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What’syourname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What’syourname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What’syourname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oldareyou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oldareyou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oldareyou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oldareyou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385"/>
        </w:trPr>
        <w:tc>
          <w:tcPr>
            <w:tcW w:w="1038" w:type="dxa"/>
            <w:vMerge/>
          </w:tcPr>
          <w:p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83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83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AC7F84" w:rsidRPr="000C1A34" w:rsidRDefault="00AC7F84" w:rsidP="00AC7F84">
      <w:pPr>
        <w:rPr>
          <w:sz w:val="17"/>
          <w:szCs w:val="17"/>
        </w:rPr>
      </w:pPr>
    </w:p>
    <w:p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:rsidTr="00D278E3">
        <w:trPr>
          <w:trHeight w:val="424"/>
        </w:trPr>
        <w:tc>
          <w:tcPr>
            <w:tcW w:w="1078" w:type="dxa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The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schoolconcert</w:t>
            </w:r>
            <w:proofErr w:type="spellEnd"/>
          </w:p>
        </w:tc>
      </w:tr>
      <w:tr w:rsidR="00AC7F84" w:rsidRPr="000C1A34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75"/>
        </w:trPr>
        <w:tc>
          <w:tcPr>
            <w:tcW w:w="1078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65"/>
        </w:trPr>
        <w:tc>
          <w:tcPr>
            <w:tcW w:w="1078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6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What’sthis?</w:t>
            </w:r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54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822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udziela odpowiedzi na </w:t>
            </w:r>
            <w:proofErr w:type="spellStart"/>
            <w:r w:rsidRPr="000C1A34">
              <w:rPr>
                <w:sz w:val="17"/>
                <w:szCs w:val="17"/>
              </w:rPr>
              <w:t>pytani</w:t>
            </w:r>
            <w:r w:rsidR="00AF5CD3" w:rsidRPr="000C1A34">
              <w:rPr>
                <w:sz w:val="17"/>
                <w:szCs w:val="17"/>
              </w:rPr>
              <w:t>e</w:t>
            </w:r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 xml:space="preserve">odpowiedzi na </w:t>
            </w:r>
            <w:proofErr w:type="spellStart"/>
            <w:r w:rsidR="00AF5CD3" w:rsidRPr="000C1A34">
              <w:rPr>
                <w:sz w:val="17"/>
                <w:szCs w:val="17"/>
              </w:rPr>
              <w:t>pytanie</w:t>
            </w:r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 xml:space="preserve">odpowiedzi na </w:t>
            </w:r>
            <w:proofErr w:type="spellStart"/>
            <w:r w:rsidR="00AF5CD3" w:rsidRPr="000C1A34">
              <w:rPr>
                <w:sz w:val="17"/>
                <w:szCs w:val="17"/>
              </w:rPr>
              <w:t>pytanie</w:t>
            </w:r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="00AF5CD3" w:rsidRPr="000C1A34">
              <w:rPr>
                <w:sz w:val="17"/>
                <w:szCs w:val="17"/>
              </w:rPr>
              <w:t>It’shere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 xml:space="preserve">odpowiedzi na </w:t>
            </w:r>
            <w:proofErr w:type="spellStart"/>
            <w:r w:rsidR="00AF5CD3" w:rsidRPr="000C1A34">
              <w:rPr>
                <w:sz w:val="17"/>
                <w:szCs w:val="17"/>
              </w:rPr>
              <w:t>pytanie</w:t>
            </w:r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It’shere</w:t>
            </w:r>
            <w:proofErr w:type="spellEnd"/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71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0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:rsidTr="00D278E3">
        <w:trPr>
          <w:trHeight w:val="424"/>
        </w:trPr>
        <w:tc>
          <w:tcPr>
            <w:tcW w:w="1045" w:type="dxa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The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75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65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:rsidTr="00D278E3">
        <w:trPr>
          <w:trHeight w:val="465"/>
        </w:trPr>
        <w:tc>
          <w:tcPr>
            <w:tcW w:w="1045" w:type="dxa"/>
            <w:vMerge/>
          </w:tcPr>
          <w:p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6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What’sthis?It’s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28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small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small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small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small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28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favouritetoyis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favouritetoyis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favouritetoyis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r w:rsidRPr="000C1A34">
              <w:rPr>
                <w:sz w:val="17"/>
                <w:szCs w:val="17"/>
                <w:lang w:val="en-GB"/>
              </w:rPr>
              <w:t>formułuje</w:t>
            </w:r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:rsidTr="00D278E3">
        <w:trPr>
          <w:trHeight w:val="684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udziela odpowiedzi na </w:t>
            </w:r>
            <w:proofErr w:type="spellStart"/>
            <w:r w:rsidRPr="000C1A34">
              <w:rPr>
                <w:sz w:val="17"/>
                <w:szCs w:val="17"/>
              </w:rPr>
              <w:t>pytani</w:t>
            </w:r>
            <w:r w:rsidR="00DF1108" w:rsidRPr="000C1A34">
              <w:rPr>
                <w:sz w:val="17"/>
                <w:szCs w:val="17"/>
              </w:rPr>
              <w:t>e</w:t>
            </w:r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71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0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:rsidTr="00D278E3">
        <w:trPr>
          <w:trHeight w:val="424"/>
        </w:trPr>
        <w:tc>
          <w:tcPr>
            <w:tcW w:w="1045" w:type="dxa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The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web</w:t>
            </w:r>
            <w:proofErr w:type="spellEnd"/>
          </w:p>
        </w:tc>
      </w:tr>
      <w:tr w:rsidR="00AC7F84" w:rsidRPr="000C1A34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:rsidTr="00D278E3">
        <w:trPr>
          <w:trHeight w:val="375"/>
        </w:trPr>
        <w:tc>
          <w:tcPr>
            <w:tcW w:w="1045" w:type="dxa"/>
            <w:vMerge/>
          </w:tcPr>
          <w:p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:rsidTr="00D278E3">
        <w:trPr>
          <w:trHeight w:val="465"/>
        </w:trPr>
        <w:tc>
          <w:tcPr>
            <w:tcW w:w="1045" w:type="dxa"/>
            <w:vMerge/>
          </w:tcPr>
          <w:p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92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:rsidTr="00D278E3">
        <w:trPr>
          <w:trHeight w:val="381"/>
        </w:trPr>
        <w:tc>
          <w:tcPr>
            <w:tcW w:w="1045" w:type="dxa"/>
            <w:vMerge/>
          </w:tcPr>
          <w:p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:rsidTr="00D278E3">
        <w:trPr>
          <w:trHeight w:val="562"/>
        </w:trPr>
        <w:tc>
          <w:tcPr>
            <w:tcW w:w="1045" w:type="dxa"/>
            <w:vMerge/>
          </w:tcPr>
          <w:p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 xml:space="preserve">powtórzyć po nauczycielu </w:t>
            </w:r>
            <w:proofErr w:type="spellStart"/>
            <w:r w:rsidR="00470907" w:rsidRPr="000C1A34">
              <w:rPr>
                <w:sz w:val="17"/>
                <w:szCs w:val="17"/>
              </w:rPr>
              <w:t>zdania</w:t>
            </w:r>
            <w:r w:rsidRPr="000C1A34">
              <w:rPr>
                <w:i/>
                <w:sz w:val="17"/>
                <w:szCs w:val="17"/>
              </w:rPr>
              <w:t>I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with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with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with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formułujezdania</w:t>
            </w:r>
            <w:r w:rsidRPr="000C1A34">
              <w:rPr>
                <w:i/>
                <w:sz w:val="17"/>
                <w:szCs w:val="17"/>
                <w:lang w:val="en-GB"/>
              </w:rPr>
              <w:t>I</w:t>
            </w:r>
            <w:proofErr w:type="spellEnd"/>
            <w:r w:rsidRPr="000C1A34">
              <w:rPr>
                <w:i/>
                <w:sz w:val="17"/>
                <w:szCs w:val="17"/>
                <w:lang w:val="en-GB"/>
              </w:rPr>
              <w:t xml:space="preserve"> (hear) with my (ears).</w:t>
            </w:r>
          </w:p>
        </w:tc>
        <w:tc>
          <w:tcPr>
            <w:tcW w:w="283" w:type="dxa"/>
          </w:tcPr>
          <w:p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:rsidTr="00D278E3">
        <w:trPr>
          <w:trHeight w:val="586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zwyklepoprawnie</w:t>
            </w:r>
            <w:r w:rsidR="00470907" w:rsidRPr="000C1A34">
              <w:rPr>
                <w:sz w:val="17"/>
                <w:szCs w:val="17"/>
                <w:lang w:val="en-GB"/>
              </w:rPr>
              <w:t>formułujezdania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  <w:lang w:val="en-GB"/>
              </w:rPr>
              <w:t xml:space="preserve"> is the way I (wash)(my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bez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truduformułujezdaniazdania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  <w:lang w:val="en-GB"/>
              </w:rPr>
              <w:t xml:space="preserve"> is the way I (wash)(my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:rsidTr="00D278E3">
        <w:trPr>
          <w:trHeight w:val="471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0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145"/>
        </w:trPr>
        <w:tc>
          <w:tcPr>
            <w:tcW w:w="1045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145"/>
        </w:trPr>
        <w:tc>
          <w:tcPr>
            <w:tcW w:w="1045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AC7F84">
      <w:pPr>
        <w:rPr>
          <w:sz w:val="17"/>
          <w:szCs w:val="17"/>
        </w:rPr>
      </w:pPr>
    </w:p>
    <w:p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:rsidTr="00D278E3">
        <w:trPr>
          <w:trHeight w:val="424"/>
        </w:trPr>
        <w:tc>
          <w:tcPr>
            <w:tcW w:w="1128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6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>).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>).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>).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>).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48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62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71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:rsidTr="00D278E3">
        <w:trPr>
          <w:trHeight w:val="424"/>
        </w:trPr>
        <w:tc>
          <w:tcPr>
            <w:tcW w:w="1128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</w:t>
            </w:r>
            <w:proofErr w:type="spellStart"/>
            <w:r w:rsidRPr="000C1A34">
              <w:rPr>
                <w:b/>
                <w:sz w:val="17"/>
                <w:szCs w:val="17"/>
              </w:rPr>
              <w:t>The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26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28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97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="00CB5E36" w:rsidRPr="000C1A34">
              <w:rPr>
                <w:i/>
                <w:sz w:val="17"/>
                <w:szCs w:val="17"/>
              </w:rPr>
              <w:t>(An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poprawnieformułujezdania</w:t>
            </w:r>
            <w:proofErr w:type="spellEnd"/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:rsidTr="00D278E3">
        <w:trPr>
          <w:trHeight w:val="713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99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:rsidTr="00D278E3">
        <w:trPr>
          <w:trHeight w:val="424"/>
        </w:trPr>
        <w:tc>
          <w:tcPr>
            <w:tcW w:w="1132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65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54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4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4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71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6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02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53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:rsidTr="00D278E3">
        <w:trPr>
          <w:trHeight w:val="424"/>
        </w:trPr>
        <w:tc>
          <w:tcPr>
            <w:tcW w:w="1130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, </w:t>
            </w:r>
            <w:proofErr w:type="spellStart"/>
            <w:r w:rsidRPr="000C1A34">
              <w:rPr>
                <w:b/>
                <w:sz w:val="17"/>
                <w:szCs w:val="17"/>
              </w:rPr>
              <w:t>Bugs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 Team!</w:t>
            </w:r>
          </w:p>
        </w:tc>
      </w:tr>
      <w:tr w:rsidR="00515F68" w:rsidRPr="000C1A34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30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 xml:space="preserve">I want to go to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 xml:space="preserve">I want to go to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 xml:space="preserve">want to go to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 xml:space="preserve">I want to go to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28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71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:rsidTr="00D278E3">
        <w:trPr>
          <w:trHeight w:val="427"/>
        </w:trPr>
        <w:tc>
          <w:tcPr>
            <w:tcW w:w="1132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80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4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</w:p>
    <w:p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1C47A5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006E8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6339</Words>
  <Characters>38034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Eliza-Emilka</cp:lastModifiedBy>
  <cp:revision>2</cp:revision>
  <cp:lastPrinted>2020-12-03T11:57:00Z</cp:lastPrinted>
  <dcterms:created xsi:type="dcterms:W3CDTF">2021-09-27T19:27:00Z</dcterms:created>
  <dcterms:modified xsi:type="dcterms:W3CDTF">2021-09-27T19:27:00Z</dcterms:modified>
</cp:coreProperties>
</file>